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714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09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211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09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211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обществу с ограниченной ответственностью «Ямал-Энерго» тарифов на питьевую воду для расчетов с потребителями села Ратта муниципального образования муниципальный округ Красноселькупский район Ямало-Ненецкого автономного округа </w:t>
        <w:br/>
        <w:t xml:space="preserve">и долгосрочных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параметров регулирования тарифов, на 2021 - 2025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714-т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ится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к приказу департаме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09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211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ind w:left="0"/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Таблица 1</w:t>
      </w:r>
      <w:r>
        <w:rPr>
          <w:sz w:val="24"/>
          <w:szCs w:val="24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5"/>
        <w:gridCol w:w="5669"/>
        <w:gridCol w:w="2551"/>
        <w:gridCol w:w="61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 коммунальных ресурсов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питьевую воду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01.01.2021 по 30.06.2021 – 593,63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01.07.2021 по 3</w:t>
            </w:r>
            <w:r>
              <w:rPr>
                <w:rFonts w:ascii="Liberation Sans" w:hAnsi="Liberation Sans" w:eastAsia="Liberation Serif" w:cs="Liberation Sans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</w:rPr>
              <w:t xml:space="preserve">.1</w:t>
            </w:r>
            <w:r>
              <w:rPr>
                <w:rFonts w:ascii="Liberation Sans" w:hAnsi="Liberation Sans" w:eastAsia="Liberation Serif" w:cs="Liberation Sans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</w:rPr>
              <w:t xml:space="preserve">.2021 – 517,48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</w:t>
            </w:r>
            <w:r>
              <w:rPr>
                <w:rFonts w:ascii="Liberation Sans" w:hAnsi="Liberation Sans" w:eastAsia="Liberation Serif" w:cs="Liberation Sans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</w:rPr>
              <w:t xml:space="preserve">.2021 по 3</w:t>
            </w:r>
            <w:r>
              <w:rPr>
                <w:rFonts w:ascii="Liberation Sans" w:hAnsi="Liberation Sans" w:eastAsia="Liberation Serif" w:cs="Liberation Sans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</w:rPr>
              <w:t xml:space="preserve">.1</w:t>
            </w:r>
            <w:r>
              <w:rPr>
                <w:rFonts w:ascii="Liberation Sans" w:hAnsi="Liberation Sans" w:eastAsia="Liberation Serif" w:cs="Liberation Sans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</w:rPr>
              <w:t xml:space="preserve">.2021 – </w:t>
            </w:r>
            <w:r>
              <w:rPr>
                <w:rFonts w:ascii="Liberation Sans" w:hAnsi="Liberation Sans" w:eastAsia="Liberation Serif" w:cs="Liberation Sans"/>
              </w:rPr>
              <w:t xml:space="preserve">593,63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593,63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639,94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662,01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662,01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01.01.2024 по 30.06.2024 – 623,10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highlight w:val="white"/>
              </w:rPr>
              <w:t xml:space="preserve">с 01.07.2024 по 31.12.2024 – 623,10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01.01.2025 по 30.06.2025 – 623,10</w:t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01.07.2025 по 31.12.2025 – 747,55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Потребители, имеющие право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HYPERLINK consultantplus://offline/ref=30AE12744AACC646BD4A127E9A00FA26F3F5D77ABA9B9249DE8065AAD0E7560D85AC42817DBE367E208644GEEAF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01.01.2021 по 30.06.2021 – 32,63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01.07.2021 по 31.12.2021 – 33,74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33,74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34,88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01.12.2022 по 31.12.2022 – 38,02</w:t>
            </w:r>
            <w:r>
              <w:rPr>
                <w:rFonts w:ascii="Liberation Sans" w:hAnsi="Liberation Sans" w:cs="Liberation Sans"/>
                <w:color w:val="000000" w:themeColor="text1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01.01.2023 по 31.12.2023 – 38,02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01.01.2024 по 30.06.2024 – 38,02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01.07.2024 по 31.12.2024 – 41,05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41,05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01.07.2025 по 31.12.2025 – 44,50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HYPERLINK consultantplus://offline/ref=E2D39A4F09B56413B3EC0001D0709032262D2B4CB0535EAD3A2383E493BF8F76C45AD369E8E1994C547488p5EDF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HYPERLINK consultantplus://offline/ref=E2D39A4F09B56413B3EC0001D0709032262D2B4CB0535EAD3A2383E493BF8F76C45AD369E8E1994C547488p5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instrText xml:space="preserve">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01.01.2021 по 30.06.2021 – 39,16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01.07.2021 по 31.12.2021 – 40,49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40,49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41,86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01.12.2022 по 31.12.2022 – 45,62</w:t>
            </w:r>
            <w:r>
              <w:rPr>
                <w:rFonts w:ascii="Liberation Sans" w:hAnsi="Liberation Sans" w:cs="Liberation Sans"/>
                <w:color w:val="000000" w:themeColor="text1"/>
                <w:highlight w:val="none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01.01.2023 по 31.12.2023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 45,62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01.01.2024 по 30.06.2024 – 45,62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с 01.07.2024 по 31.12.2024 – 49,26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pStyle w:val="836"/>
            </w:pPr>
            <w:r>
              <w:rPr>
                <w:rFonts w:ascii="Liberation Sans" w:hAnsi="Liberation Sans" w:eastAsia="Liberation Serif" w:cs="Liberation Sans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  <w:t xml:space="preserve">49,26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с 01.07.2025 по 31.12.2025 – 53,40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2024-12-25T14:19:09Z</dcterms:modified>
</cp:coreProperties>
</file>